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10" w:rsidRPr="00B976B7" w:rsidRDefault="00CA4210" w:rsidP="00CA4210">
      <w:pPr>
        <w:tabs>
          <w:tab w:val="left" w:pos="2178"/>
          <w:tab w:val="center" w:pos="5233"/>
        </w:tabs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76B7">
        <w:rPr>
          <w:rFonts w:ascii="標楷體" w:eastAsia="標楷體" w:hAnsi="標楷體" w:hint="eastAsia"/>
          <w:color w:val="000000" w:themeColor="text1"/>
          <w:sz w:val="32"/>
          <w:szCs w:val="32"/>
        </w:rPr>
        <w:t>佛光大學 社會科學暨管理學院</w:t>
      </w:r>
    </w:p>
    <w:p w:rsidR="00CA4210" w:rsidRPr="00B976B7" w:rsidRDefault="00CA4210" w:rsidP="00CA421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76B7">
        <w:rPr>
          <w:rFonts w:ascii="標楷體" w:eastAsia="標楷體" w:hAnsi="標楷體" w:hint="eastAsia"/>
          <w:color w:val="000000" w:themeColor="text1"/>
          <w:sz w:val="32"/>
          <w:szCs w:val="32"/>
        </w:rPr>
        <w:t>應用經濟學系碩士班課程架構表</w:t>
      </w:r>
    </w:p>
    <w:p w:rsidR="00CA4210" w:rsidRPr="00B976B7" w:rsidRDefault="00CA4210" w:rsidP="00CA4210">
      <w:pPr>
        <w:adjustRightInd w:val="0"/>
        <w:spacing w:line="360" w:lineRule="atLeast"/>
        <w:textAlignment w:val="baseline"/>
        <w:rPr>
          <w:rFonts w:eastAsia="標楷體"/>
          <w:color w:val="000000" w:themeColor="text1"/>
          <w:kern w:val="0"/>
          <w:szCs w:val="20"/>
        </w:rPr>
      </w:pPr>
      <w:r w:rsidRPr="00B976B7">
        <w:rPr>
          <w:rFonts w:eastAsia="標楷體" w:hint="eastAsia"/>
          <w:color w:val="000000" w:themeColor="text1"/>
          <w:kern w:val="0"/>
          <w:szCs w:val="20"/>
        </w:rPr>
        <w:t>（</w:t>
      </w:r>
      <w:r w:rsidRPr="00B976B7">
        <w:rPr>
          <w:rFonts w:eastAsia="標楷體"/>
          <w:color w:val="000000" w:themeColor="text1"/>
          <w:kern w:val="0"/>
          <w:szCs w:val="20"/>
        </w:rPr>
        <w:t>106</w:t>
      </w:r>
      <w:r w:rsidRPr="00B976B7">
        <w:rPr>
          <w:rFonts w:eastAsia="標楷體" w:hint="eastAsia"/>
          <w:color w:val="000000" w:themeColor="text1"/>
          <w:kern w:val="0"/>
          <w:szCs w:val="20"/>
        </w:rPr>
        <w:t>）學年新訂課程架構</w:t>
      </w:r>
    </w:p>
    <w:p w:rsidR="00CA4210" w:rsidRDefault="00CA4210" w:rsidP="00CA4210">
      <w:pPr>
        <w:wordWrap w:val="0"/>
        <w:adjustRightInd w:val="0"/>
        <w:spacing w:line="240" w:lineRule="exact"/>
        <w:jc w:val="right"/>
        <w:textAlignment w:val="baseline"/>
        <w:rPr>
          <w:rFonts w:eastAsia="標楷體"/>
          <w:color w:val="000000" w:themeColor="text1"/>
          <w:kern w:val="0"/>
          <w:sz w:val="20"/>
          <w:szCs w:val="18"/>
        </w:rPr>
      </w:pPr>
      <w:r w:rsidRPr="000F750E">
        <w:rPr>
          <w:rFonts w:eastAsia="標楷體"/>
          <w:color w:val="000000" w:themeColor="text1"/>
          <w:kern w:val="0"/>
          <w:sz w:val="14"/>
          <w:szCs w:val="18"/>
        </w:rPr>
        <w:t>105.12.28  105</w:t>
      </w:r>
      <w:r w:rsidRPr="000F750E">
        <w:rPr>
          <w:rFonts w:eastAsia="標楷體" w:hint="eastAsia"/>
          <w:color w:val="000000" w:themeColor="text1"/>
          <w:kern w:val="0"/>
          <w:sz w:val="14"/>
          <w:szCs w:val="18"/>
        </w:rPr>
        <w:t>學年度第一次校課程委員會通過</w:t>
      </w:r>
    </w:p>
    <w:p w:rsidR="00CA4210" w:rsidRPr="00B976B7" w:rsidRDefault="00CA4210" w:rsidP="00CA4210">
      <w:pPr>
        <w:adjustRightInd w:val="0"/>
        <w:spacing w:line="240" w:lineRule="exact"/>
        <w:jc w:val="right"/>
        <w:textAlignment w:val="baseline"/>
        <w:rPr>
          <w:rFonts w:eastAsia="標楷體"/>
          <w:color w:val="000000" w:themeColor="text1"/>
          <w:kern w:val="0"/>
          <w:sz w:val="20"/>
          <w:szCs w:val="18"/>
        </w:rPr>
      </w:pPr>
      <w:r w:rsidRPr="00B97A53">
        <w:rPr>
          <w:rFonts w:ascii="標楷體" w:eastAsia="標楷體" w:hAnsi="標楷體" w:hint="eastAsia"/>
          <w:color w:val="000000" w:themeColor="text1"/>
          <w:sz w:val="14"/>
        </w:rPr>
        <w:t>106.03.16 105學年度第4次系課程委員會</w:t>
      </w:r>
      <w:r>
        <w:rPr>
          <w:rFonts w:ascii="標楷體" w:eastAsia="標楷體" w:hAnsi="標楷體" w:hint="eastAsia"/>
          <w:color w:val="000000" w:themeColor="text1"/>
          <w:sz w:val="14"/>
        </w:rPr>
        <w:t>修訂</w:t>
      </w:r>
    </w:p>
    <w:tbl>
      <w:tblPr>
        <w:tblpPr w:leftFromText="180" w:rightFromText="180" w:vertAnchor="text" w:horzAnchor="margin" w:tblpY="35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5"/>
        <w:gridCol w:w="2477"/>
        <w:gridCol w:w="3935"/>
        <w:gridCol w:w="728"/>
        <w:gridCol w:w="1021"/>
        <w:gridCol w:w="1166"/>
      </w:tblGrid>
      <w:tr w:rsidR="00CA4210" w:rsidRPr="00B976B7" w:rsidTr="009C7193">
        <w:trPr>
          <w:trHeight w:val="27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本系碩士班學生畢業時需修滿至少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30 </w:t>
            </w:r>
            <w:r w:rsidRPr="00B976B7">
              <w:rPr>
                <w:rFonts w:eastAsia="標楷體" w:hint="eastAsia"/>
                <w:color w:val="000000" w:themeColor="text1"/>
                <w:sz w:val="20"/>
              </w:rPr>
              <w:t>學分（不含碩士論文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6 </w:t>
            </w:r>
            <w:r w:rsidRPr="00B976B7">
              <w:rPr>
                <w:rFonts w:eastAsia="標楷體" w:hint="eastAsia"/>
                <w:color w:val="000000" w:themeColor="text1"/>
                <w:sz w:val="20"/>
              </w:rPr>
              <w:t>學分）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（一）專業必修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 9 </w:t>
            </w:r>
            <w:r w:rsidRPr="00B976B7">
              <w:rPr>
                <w:rFonts w:eastAsia="標楷體" w:hint="eastAsia"/>
                <w:color w:val="000000" w:themeColor="text1"/>
                <w:sz w:val="20"/>
              </w:rPr>
              <w:t>學分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（二）專業選修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21 </w:t>
            </w:r>
            <w:r w:rsidRPr="00B976B7">
              <w:rPr>
                <w:rFonts w:eastAsia="標楷體" w:hint="eastAsia"/>
                <w:color w:val="000000" w:themeColor="text1"/>
                <w:sz w:val="20"/>
              </w:rPr>
              <w:t>學分</w:t>
            </w:r>
          </w:p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（三）論文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6 </w:t>
            </w:r>
            <w:r w:rsidRPr="00B976B7">
              <w:rPr>
                <w:rFonts w:eastAsia="標楷體" w:hint="eastAsia"/>
                <w:color w:val="000000" w:themeColor="text1"/>
                <w:sz w:val="20"/>
              </w:rPr>
              <w:t>學分</w:t>
            </w:r>
          </w:p>
        </w:tc>
      </w:tr>
      <w:tr w:rsidR="00CA4210" w:rsidRPr="00B976B7" w:rsidTr="009C7193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b/>
                <w:color w:val="000000" w:themeColor="text1"/>
                <w:sz w:val="20"/>
              </w:rPr>
              <w:t>專業必修，共</w:t>
            </w:r>
            <w:r w:rsidRPr="00B976B7">
              <w:rPr>
                <w:rFonts w:eastAsia="標楷體"/>
                <w:b/>
                <w:color w:val="000000" w:themeColor="text1"/>
                <w:sz w:val="20"/>
              </w:rPr>
              <w:t>9</w:t>
            </w:r>
            <w:r w:rsidRPr="00B976B7">
              <w:rPr>
                <w:rFonts w:eastAsia="標楷體" w:hint="eastAsia"/>
                <w:b/>
                <w:color w:val="000000" w:themeColor="text1"/>
                <w:sz w:val="20"/>
              </w:rPr>
              <w:t>學分</w:t>
            </w: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B976B7">
              <w:rPr>
                <w:rFonts w:eastAsia="標楷體" w:hint="eastAsia"/>
                <w:color w:val="000000" w:themeColor="text1"/>
                <w:sz w:val="20"/>
              </w:rPr>
              <w:t>課號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中文名稱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英文名稱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學分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修</w:t>
            </w:r>
            <w:proofErr w:type="gramStart"/>
            <w:r w:rsidRPr="00B976B7">
              <w:rPr>
                <w:rFonts w:eastAsia="標楷體" w:hint="eastAsia"/>
                <w:color w:val="000000" w:themeColor="text1"/>
                <w:sz w:val="20"/>
              </w:rPr>
              <w:t>讀年級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備註</w:t>
            </w: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EC501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個體經濟理論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 xml:space="preserve">Microeconomics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B976B7">
              <w:rPr>
                <w:rFonts w:eastAsia="標楷體" w:hint="eastAsia"/>
                <w:color w:val="000000" w:themeColor="text1"/>
                <w:sz w:val="20"/>
              </w:rPr>
              <w:t>一</w:t>
            </w:r>
            <w:proofErr w:type="gramEnd"/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ascii="Palatino Linotype" w:eastAsia="微軟正黑體" w:hAnsi="Palatino Linotype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EC503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總體經濟理論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 xml:space="preserve">Macroeconomics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B976B7">
              <w:rPr>
                <w:rFonts w:eastAsia="標楷體" w:hint="eastAsia"/>
                <w:color w:val="000000" w:themeColor="text1"/>
                <w:sz w:val="20"/>
              </w:rPr>
              <w:t>一</w:t>
            </w:r>
            <w:proofErr w:type="gramEnd"/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Palatino Linotype" w:eastAsia="微軟正黑體" w:hAnsi="Palatino Linotype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EC604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研究方法與專題討論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Research Methodology and Seminar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B976B7">
              <w:rPr>
                <w:rFonts w:eastAsia="標楷體" w:hint="eastAsia"/>
                <w:color w:val="000000" w:themeColor="text1"/>
                <w:sz w:val="20"/>
              </w:rPr>
              <w:t>一</w:t>
            </w:r>
            <w:proofErr w:type="gramEnd"/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Palatino Linotype" w:eastAsia="微軟正黑體" w:hAnsi="Palatino Linotype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b/>
                <w:color w:val="000000" w:themeColor="text1"/>
                <w:sz w:val="20"/>
              </w:rPr>
              <w:t>專業選修，共</w:t>
            </w:r>
            <w:r w:rsidRPr="00B976B7">
              <w:rPr>
                <w:rFonts w:eastAsia="標楷體"/>
                <w:b/>
                <w:color w:val="000000" w:themeColor="text1"/>
                <w:sz w:val="20"/>
              </w:rPr>
              <w:t xml:space="preserve"> 21</w:t>
            </w:r>
            <w:r w:rsidRPr="00B976B7">
              <w:rPr>
                <w:rFonts w:eastAsia="標楷體" w:hint="eastAsia"/>
                <w:b/>
                <w:color w:val="000000" w:themeColor="text1"/>
                <w:sz w:val="20"/>
              </w:rPr>
              <w:t>學分</w:t>
            </w: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3" w:rsidRPr="00B976B7" w:rsidRDefault="00CA4210" w:rsidP="00BF69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</w:t>
            </w:r>
            <w:r w:rsidR="00BF6993">
              <w:rPr>
                <w:rFonts w:eastAsia="標楷體" w:hint="eastAsia"/>
                <w:color w:val="000000" w:themeColor="text1"/>
                <w:sz w:val="20"/>
              </w:rPr>
              <w:t>611</w:t>
            </w:r>
            <w:bookmarkStart w:id="0" w:name="_GoBack"/>
            <w:bookmarkEnd w:id="0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計量經濟學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 xml:space="preserve">Econometrics  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經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濟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類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選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修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國際貿易理論與政策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International Trade Theory</w:t>
            </w:r>
          </w:p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and Policy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產業經濟學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Industrial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國際金融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International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休閒管理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Leisure Management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產業競爭策略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Industrial Competition and Strategy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經濟預測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Economic Forecasting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總體經濟分析專題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Macroeconomic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台灣經濟發展專題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Taiwan's Economic Development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EC574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國際金融專題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International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賽局分析專題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Game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休閒管理與經濟分析專題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Leisure Management and Economic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經濟預測專題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Economic Forecasting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EC610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不動產經濟專題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Studies on Real Estate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EC529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進階財務管理</w:t>
            </w:r>
          </w:p>
        </w:tc>
        <w:tc>
          <w:tcPr>
            <w:tcW w:w="18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Advanced Financial Management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財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金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類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選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修</w:t>
            </w: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金融機構與市場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Financial Institutions and Markets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326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財富管理與規劃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Wealth Management and Planning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資產評價與風險評估</w:t>
            </w:r>
            <w:r w:rsidRPr="00B976B7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Asset Valuation and Risk Assessment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實證財經專題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Empirical Economics and 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28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財務風險專題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Financial Risk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EC541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衍生性金融商品專題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Financial Derivatives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EC543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金融投資專題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Seminar on Financial investments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EC530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投資理論與實務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Investment Theory and Practice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EC605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財務會計分析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 xml:space="preserve">Financial Accounting Analysis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976B7">
              <w:rPr>
                <w:rFonts w:eastAsia="標楷體" w:hint="eastAsia"/>
                <w:color w:val="000000" w:themeColor="text1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EC544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財報分析與公司治理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Financial Statement Analysis and Corporate Governance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國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際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proofErr w:type="gramStart"/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碩</w:t>
            </w:r>
            <w:proofErr w:type="gramEnd"/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士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學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位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學</w:t>
            </w:r>
          </w:p>
          <w:p w:rsidR="00CA4210" w:rsidRPr="00B976B7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  <w:r w:rsidRPr="00B976B7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程</w:t>
            </w: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EC545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管理資訊系統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Management Information Systems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EC546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數量決策分析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Number of decision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EC547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財務管理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Financial Management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EC548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內部作業控制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Internal controller of operation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EC549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商業決策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Business decisions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EC552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行銷策略研究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Studies on Marketing Strategy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  <w:tr w:rsidR="00CA4210" w:rsidRPr="00B976B7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EC553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產業組織理論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spacing w:line="200" w:lineRule="exact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Industrial organization theory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eastAsia="標楷體" w:hAnsi="Palatino Linotype"/>
                <w:color w:val="000000" w:themeColor="text1"/>
                <w:sz w:val="20"/>
              </w:rPr>
            </w:pPr>
            <w:r w:rsidRPr="00B976B7">
              <w:rPr>
                <w:rFonts w:ascii="Palatino Linotype" w:eastAsia="標楷體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spacing w:line="200" w:lineRule="exact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B976B7">
              <w:rPr>
                <w:rFonts w:ascii="Palatino Linotype" w:eastAsia="標楷體" w:hAnsi="Palatino Linotype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B976B7" w:rsidRDefault="00CA4210" w:rsidP="009C7193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sz w:val="16"/>
                <w:szCs w:val="16"/>
              </w:rPr>
            </w:pPr>
          </w:p>
        </w:tc>
      </w:tr>
    </w:tbl>
    <w:p w:rsidR="004903FD" w:rsidRDefault="004903FD"/>
    <w:sectPr w:rsidR="004903FD" w:rsidSect="00CA42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7F" w:rsidRDefault="00C8147F" w:rsidP="00BF6993">
      <w:r>
        <w:separator/>
      </w:r>
    </w:p>
  </w:endnote>
  <w:endnote w:type="continuationSeparator" w:id="0">
    <w:p w:rsidR="00C8147F" w:rsidRDefault="00C8147F" w:rsidP="00BF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7F" w:rsidRDefault="00C8147F" w:rsidP="00BF6993">
      <w:r>
        <w:separator/>
      </w:r>
    </w:p>
  </w:footnote>
  <w:footnote w:type="continuationSeparator" w:id="0">
    <w:p w:rsidR="00C8147F" w:rsidRDefault="00C8147F" w:rsidP="00BF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10"/>
    <w:rsid w:val="00216EE4"/>
    <w:rsid w:val="004903FD"/>
    <w:rsid w:val="00BF6993"/>
    <w:rsid w:val="00C8147F"/>
    <w:rsid w:val="00C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9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9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9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9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1085</Words>
  <Characters>1086</Characters>
  <Application>Microsoft Office Word</Application>
  <DocSecurity>0</DocSecurity>
  <Lines>271</Lines>
  <Paragraphs>271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2017-04-13T08:36:00Z</dcterms:created>
  <dcterms:modified xsi:type="dcterms:W3CDTF">2018-01-04T08:35:00Z</dcterms:modified>
</cp:coreProperties>
</file>